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4D5" w14:textId="77777777" w:rsidR="005D22D3" w:rsidRDefault="00EF535B">
      <w:pPr>
        <w:spacing w:line="600" w:lineRule="exact"/>
        <w:rPr>
          <w:rFonts w:eastAsia="黑体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 w:hint="eastAsia"/>
        </w:rPr>
        <w:t>1</w:t>
      </w:r>
    </w:p>
    <w:p w14:paraId="6A2A43F2" w14:textId="77777777" w:rsidR="00AE7291" w:rsidRDefault="00AE7291" w:rsidP="00AE729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东莞市乡村振兴促进中心2022年委托课题</w:t>
      </w:r>
    </w:p>
    <w:p w14:paraId="727D9B1D" w14:textId="77777777" w:rsidR="00AE7291" w:rsidRDefault="00AE7291" w:rsidP="00AE729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选题范围</w:t>
      </w:r>
    </w:p>
    <w:p w14:paraId="475A7D94" w14:textId="77777777" w:rsidR="00AE7291" w:rsidRDefault="00AE7291" w:rsidP="00AE7291">
      <w:pPr>
        <w:spacing w:line="600" w:lineRule="exact"/>
        <w:ind w:firstLineChars="200" w:firstLine="640"/>
        <w:rPr>
          <w:rFonts w:eastAsia="黑体"/>
          <w:szCs w:val="32"/>
        </w:rPr>
      </w:pPr>
    </w:p>
    <w:p w14:paraId="759072ED" w14:textId="77777777" w:rsidR="00AE7291" w:rsidRDefault="00AE7291" w:rsidP="00AE7291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一、东莞宅基地资源现状分析与对策研究</w:t>
      </w:r>
    </w:p>
    <w:p w14:paraId="4195D7F9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 w:hint="eastAsia"/>
          <w:szCs w:val="32"/>
        </w:rPr>
        <w:t>（一）研究内容</w:t>
      </w:r>
    </w:p>
    <w:p w14:paraId="2C8B3843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color w:val="000000"/>
          <w:szCs w:val="32"/>
        </w:rPr>
        <w:t>开展东莞宅基地资源现状分析与对策研究，初步建立东莞市宅基地资源数据库，摸清全市宅基地资源利用现状、数量、规模、分布等，分析评估宅基地资源现状，识别闲置低效的宅基地资源，分门别类提出宅基地资源管理和利用的对策建议，为盘活利用闲置宅基地资源、推动宅基地资源数字精细化管理、宅基地制度改革与政府决策等工作，提供基础数据支撑和参考指导。</w:t>
      </w:r>
    </w:p>
    <w:p w14:paraId="73FA1CC8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 w:hint="eastAsia"/>
          <w:szCs w:val="32"/>
        </w:rPr>
        <w:t>（二）目标成果</w:t>
      </w:r>
    </w:p>
    <w:p w14:paraId="5D2F1892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、初步建立东莞市宅基地数据库；</w:t>
      </w:r>
    </w:p>
    <w:p w14:paraId="72CE72E0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、研究报告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份，不少于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万字；</w:t>
      </w:r>
    </w:p>
    <w:p w14:paraId="7519F368" w14:textId="77777777" w:rsidR="00AE7291" w:rsidRDefault="00AE7291" w:rsidP="00AE7291">
      <w:pPr>
        <w:spacing w:line="600" w:lineRule="exact"/>
        <w:ind w:firstLineChars="200" w:firstLine="640"/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、</w:t>
      </w:r>
      <w:r>
        <w:rPr>
          <w:szCs w:val="32"/>
        </w:rPr>
        <w:t>政府决策咨询报告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14:paraId="7F9BDCAE" w14:textId="77777777" w:rsidR="00AE7291" w:rsidRDefault="00AE7291" w:rsidP="00AE7291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二</w:t>
      </w:r>
      <w:r>
        <w:rPr>
          <w:rFonts w:eastAsia="黑体"/>
          <w:szCs w:val="32"/>
        </w:rPr>
        <w:t>、</w:t>
      </w:r>
      <w:r>
        <w:rPr>
          <w:rFonts w:eastAsia="黑体" w:hint="eastAsia"/>
          <w:szCs w:val="32"/>
        </w:rPr>
        <w:t>东莞金融服务乡村振兴研究</w:t>
      </w:r>
    </w:p>
    <w:p w14:paraId="196E01D0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/>
          <w:szCs w:val="32"/>
        </w:rPr>
        <w:t>（一）研究内容</w:t>
      </w:r>
    </w:p>
    <w:p w14:paraId="2C48531E" w14:textId="77777777" w:rsidR="00AE7291" w:rsidRDefault="00AE7291" w:rsidP="00AE7291">
      <w:pPr>
        <w:pStyle w:val="2"/>
        <w:spacing w:line="600" w:lineRule="exact"/>
        <w:ind w:firstLine="640"/>
        <w:rPr>
          <w:rFonts w:ascii="Times New Roman"/>
          <w:color w:val="000000"/>
          <w:szCs w:val="32"/>
        </w:rPr>
      </w:pPr>
      <w:r>
        <w:rPr>
          <w:rFonts w:ascii="Times New Roman" w:hint="eastAsia"/>
          <w:color w:val="000000"/>
          <w:szCs w:val="32"/>
        </w:rPr>
        <w:t>开展东莞金融服务乡村振兴研究，按照省委省政府、市委市政府关于金融服务“三农”与乡村振兴工作的决策部署，分析我市金融服务乡村振兴的整体情况和问题，探索农村集</w:t>
      </w:r>
      <w:r>
        <w:rPr>
          <w:rFonts w:ascii="Times New Roman" w:hint="eastAsia"/>
          <w:color w:val="000000"/>
          <w:szCs w:val="32"/>
        </w:rPr>
        <w:lastRenderedPageBreak/>
        <w:t>体经济投资与货币资产保值、增值渠道，结合省“十四五”规划的指导思想、基本原则和建设目标，谋划金融服务乡村振兴的模式与路径，加大金融服务乡村振兴力度。</w:t>
      </w:r>
    </w:p>
    <w:p w14:paraId="6DA97578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 w:hint="eastAsia"/>
          <w:szCs w:val="32"/>
        </w:rPr>
        <w:t>（二）</w:t>
      </w:r>
      <w:r>
        <w:rPr>
          <w:rFonts w:eastAsia="楷体"/>
          <w:szCs w:val="32"/>
        </w:rPr>
        <w:t>目标成果</w:t>
      </w:r>
    </w:p>
    <w:p w14:paraId="190C790D" w14:textId="77777777" w:rsidR="00AE7291" w:rsidRDefault="00AE7291" w:rsidP="00AE7291">
      <w:pPr>
        <w:pStyle w:val="a5"/>
        <w:spacing w:line="600" w:lineRule="exact"/>
        <w:ind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、</w:t>
      </w:r>
      <w:r>
        <w:rPr>
          <w:szCs w:val="32"/>
        </w:rPr>
        <w:t>研究报告</w:t>
      </w:r>
      <w:r>
        <w:rPr>
          <w:szCs w:val="32"/>
        </w:rPr>
        <w:t>1</w:t>
      </w:r>
      <w:r>
        <w:rPr>
          <w:szCs w:val="32"/>
        </w:rPr>
        <w:t>份，不少于</w:t>
      </w:r>
      <w:r>
        <w:rPr>
          <w:szCs w:val="32"/>
        </w:rPr>
        <w:t>2</w:t>
      </w:r>
      <w:r>
        <w:rPr>
          <w:szCs w:val="32"/>
        </w:rPr>
        <w:t>万字</w:t>
      </w:r>
      <w:r>
        <w:rPr>
          <w:rFonts w:hint="eastAsia"/>
          <w:szCs w:val="32"/>
        </w:rPr>
        <w:t>；</w:t>
      </w:r>
    </w:p>
    <w:p w14:paraId="0E8CB653" w14:textId="77777777" w:rsidR="00AE7291" w:rsidRDefault="00AE7291" w:rsidP="00AE7291">
      <w:pPr>
        <w:pStyle w:val="a5"/>
        <w:spacing w:line="600" w:lineRule="exact"/>
        <w:ind w:firstLine="640"/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</w:t>
      </w:r>
      <w:r>
        <w:rPr>
          <w:szCs w:val="32"/>
        </w:rPr>
        <w:t>政府决策咨询报告</w:t>
      </w:r>
      <w:r>
        <w:rPr>
          <w:szCs w:val="32"/>
        </w:rPr>
        <w:t>1</w:t>
      </w:r>
      <w:r>
        <w:rPr>
          <w:szCs w:val="32"/>
        </w:rPr>
        <w:t>份</w:t>
      </w:r>
      <w:r>
        <w:rPr>
          <w:rFonts w:hint="eastAsia"/>
          <w:szCs w:val="32"/>
        </w:rPr>
        <w:t>。</w:t>
      </w:r>
    </w:p>
    <w:p w14:paraId="473B5662" w14:textId="77777777" w:rsidR="00AE7291" w:rsidRDefault="00AE7291" w:rsidP="00AE7291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三</w:t>
      </w:r>
      <w:r>
        <w:rPr>
          <w:rFonts w:eastAsia="黑体"/>
          <w:szCs w:val="32"/>
        </w:rPr>
        <w:t>、</w:t>
      </w:r>
      <w:r>
        <w:rPr>
          <w:rFonts w:eastAsia="黑体" w:hint="eastAsia"/>
          <w:szCs w:val="32"/>
        </w:rPr>
        <w:t>东莞建立健全农村人居环境长效管护机制研究</w:t>
      </w:r>
    </w:p>
    <w:p w14:paraId="4A6DCB56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/>
          <w:szCs w:val="32"/>
        </w:rPr>
        <w:t>（一）研究内容</w:t>
      </w:r>
    </w:p>
    <w:p w14:paraId="711E84FF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开展东莞农村人居环境长效管护机制研究，重点包括农村人居环境管护存在的问题，各镇街的探索以及可行的途径和机制，探索提出符合东莞实际的权责明确、主体多元、保障有力的长效管护机制，整理并遴选出典型案例供各镇街参考。</w:t>
      </w:r>
    </w:p>
    <w:p w14:paraId="3AE113E9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/>
          <w:szCs w:val="32"/>
        </w:rPr>
        <w:t>（二）目标成果</w:t>
      </w:r>
    </w:p>
    <w:p w14:paraId="67C5B36D" w14:textId="77777777" w:rsidR="00AE7291" w:rsidRDefault="00AE7291" w:rsidP="00AE7291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、</w:t>
      </w:r>
      <w:r>
        <w:rPr>
          <w:szCs w:val="32"/>
        </w:rPr>
        <w:t>研究报告</w:t>
      </w:r>
      <w:r>
        <w:rPr>
          <w:szCs w:val="32"/>
        </w:rPr>
        <w:t>1</w:t>
      </w:r>
      <w:r>
        <w:rPr>
          <w:szCs w:val="32"/>
        </w:rPr>
        <w:t>份，不少于</w:t>
      </w:r>
      <w:r>
        <w:rPr>
          <w:rFonts w:hint="eastAsia"/>
          <w:szCs w:val="32"/>
        </w:rPr>
        <w:t>2</w:t>
      </w:r>
      <w:r>
        <w:rPr>
          <w:szCs w:val="32"/>
        </w:rPr>
        <w:t>万字</w:t>
      </w:r>
      <w:r>
        <w:rPr>
          <w:rFonts w:hint="eastAsia"/>
          <w:szCs w:val="32"/>
        </w:rPr>
        <w:t>；</w:t>
      </w:r>
    </w:p>
    <w:p w14:paraId="26813803" w14:textId="77777777" w:rsidR="00AE7291" w:rsidRDefault="00AE7291" w:rsidP="00AE7291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、东莞人居环境评价指标体系；</w:t>
      </w:r>
    </w:p>
    <w:p w14:paraId="464E95A5" w14:textId="77777777" w:rsidR="00AE7291" w:rsidRDefault="00AE7291" w:rsidP="00AE7291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、东莞市农村人居环境长效管护机制实施方案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14:paraId="4FCFAA84" w14:textId="77777777" w:rsidR="00AE7291" w:rsidRDefault="00AE7291" w:rsidP="00AE7291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四、东莞乡村振兴示范带规划研究</w:t>
      </w:r>
    </w:p>
    <w:p w14:paraId="6CCD600B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/>
          <w:szCs w:val="32"/>
        </w:rPr>
        <w:t>（一）</w:t>
      </w:r>
      <w:r>
        <w:rPr>
          <w:rFonts w:eastAsia="楷体" w:hint="eastAsia"/>
          <w:szCs w:val="32"/>
        </w:rPr>
        <w:t>研究内容</w:t>
      </w:r>
    </w:p>
    <w:p w14:paraId="1DEA7AE3" w14:textId="77777777" w:rsidR="00AE7291" w:rsidRDefault="00AE7291" w:rsidP="00AE7291">
      <w:pPr>
        <w:pStyle w:val="a5"/>
        <w:spacing w:line="600" w:lineRule="exact"/>
        <w:ind w:firstLine="640"/>
        <w:rPr>
          <w:szCs w:val="32"/>
        </w:rPr>
      </w:pPr>
      <w:r>
        <w:rPr>
          <w:rFonts w:hint="eastAsia"/>
          <w:szCs w:val="32"/>
        </w:rPr>
        <w:t>开展东莞乡村振兴示范带规划研究，梳理我市乡村振兴工作特点，按照实施乡村振兴战略总要求，挖掘</w:t>
      </w:r>
      <w:proofErr w:type="gramStart"/>
      <w:r>
        <w:rPr>
          <w:rFonts w:hint="eastAsia"/>
          <w:szCs w:val="32"/>
        </w:rPr>
        <w:t>相关村</w:t>
      </w:r>
      <w:proofErr w:type="gramEnd"/>
      <w:r>
        <w:rPr>
          <w:rFonts w:hint="eastAsia"/>
          <w:szCs w:val="32"/>
        </w:rPr>
        <w:t>资源禀赋、建设基础、产业发展等特征，突出当地自然、文化特色，形成多条“点上出精品，线上有特色，带带</w:t>
      </w:r>
      <w:proofErr w:type="gramStart"/>
      <w:r>
        <w:rPr>
          <w:rFonts w:hint="eastAsia"/>
          <w:szCs w:val="32"/>
        </w:rPr>
        <w:t>不</w:t>
      </w:r>
      <w:proofErr w:type="gramEnd"/>
      <w:r>
        <w:rPr>
          <w:rFonts w:hint="eastAsia"/>
          <w:szCs w:val="32"/>
        </w:rPr>
        <w:t>重样”的</w:t>
      </w:r>
      <w:r>
        <w:rPr>
          <w:rFonts w:hint="eastAsia"/>
          <w:szCs w:val="32"/>
        </w:rPr>
        <w:lastRenderedPageBreak/>
        <w:t>高标准东莞乡村振兴示范带规划，全力推动串点、连线、成片，充分发挥区域示范作用，引领全域发展，打造东莞乡村振兴新范例。</w:t>
      </w:r>
    </w:p>
    <w:p w14:paraId="477917BA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 w:hint="eastAsia"/>
          <w:szCs w:val="32"/>
        </w:rPr>
        <w:t>（二）目标成果</w:t>
      </w:r>
    </w:p>
    <w:p w14:paraId="0B901C6E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、研究报告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份，不少于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万字；</w:t>
      </w:r>
    </w:p>
    <w:p w14:paraId="329F63FB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、东莞市乡村振兴示范带建设指引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14:paraId="27CB5A9E" w14:textId="77777777" w:rsidR="00AE7291" w:rsidRDefault="00AE7291" w:rsidP="00AE7291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五、东莞特色精品（示范）村乡村风貌提升经典案例研究</w:t>
      </w:r>
    </w:p>
    <w:p w14:paraId="3F602F59" w14:textId="77777777" w:rsidR="00AE7291" w:rsidRDefault="00AE7291" w:rsidP="00AE7291">
      <w:pPr>
        <w:spacing w:line="600" w:lineRule="exact"/>
        <w:ind w:firstLineChars="200" w:firstLine="640"/>
        <w:rPr>
          <w:rFonts w:eastAsia="楷体"/>
          <w:szCs w:val="32"/>
        </w:rPr>
      </w:pPr>
      <w:r>
        <w:rPr>
          <w:rFonts w:eastAsia="楷体"/>
          <w:szCs w:val="32"/>
        </w:rPr>
        <w:t>（一）</w:t>
      </w:r>
      <w:r>
        <w:rPr>
          <w:rFonts w:eastAsia="楷体" w:hint="eastAsia"/>
          <w:szCs w:val="32"/>
        </w:rPr>
        <w:t>研究内容</w:t>
      </w:r>
    </w:p>
    <w:p w14:paraId="68053BE7" w14:textId="42CBB633" w:rsidR="00AE7291" w:rsidRDefault="00AE7291" w:rsidP="00AE7291">
      <w:pPr>
        <w:spacing w:line="600" w:lineRule="exact"/>
        <w:ind w:firstLineChars="150" w:firstLine="480"/>
        <w:rPr>
          <w:szCs w:val="32"/>
        </w:rPr>
      </w:pPr>
      <w:r>
        <w:rPr>
          <w:rFonts w:hint="eastAsia"/>
          <w:szCs w:val="32"/>
        </w:rPr>
        <w:t>紧密围绕国家及省市相关政策文件，深入挖掘我市特色精品（示范）村亮点，</w:t>
      </w:r>
      <w:r>
        <w:rPr>
          <w:rFonts w:hint="eastAsia"/>
        </w:rPr>
        <w:t>针对城乡融合发展背景、乡村振兴目标以及人民对美好生活的需求，</w:t>
      </w:r>
      <w:r>
        <w:rPr>
          <w:rFonts w:hint="eastAsia"/>
          <w:szCs w:val="32"/>
        </w:rPr>
        <w:t>对比乡村风貌提升前后情况，总结一批极具代表性的特色精品</w:t>
      </w:r>
      <w:r w:rsidR="00D15D34">
        <w:rPr>
          <w:rFonts w:hint="eastAsia"/>
          <w:szCs w:val="32"/>
        </w:rPr>
        <w:t>（</w:t>
      </w:r>
      <w:r w:rsidR="00D15D34">
        <w:rPr>
          <w:rFonts w:hint="eastAsia"/>
          <w:szCs w:val="32"/>
        </w:rPr>
        <w:t>示范</w:t>
      </w:r>
      <w:r w:rsidR="00D15D34">
        <w:rPr>
          <w:rFonts w:hint="eastAsia"/>
          <w:szCs w:val="32"/>
        </w:rPr>
        <w:t>）</w:t>
      </w:r>
      <w:r>
        <w:rPr>
          <w:rFonts w:hint="eastAsia"/>
          <w:szCs w:val="32"/>
        </w:rPr>
        <w:t>村在乡村风貌提升方面的思路、模式及经验做法，为建设宜</w:t>
      </w:r>
      <w:proofErr w:type="gramStart"/>
      <w:r>
        <w:rPr>
          <w:rFonts w:hint="eastAsia"/>
          <w:szCs w:val="32"/>
        </w:rPr>
        <w:t>居宜业</w:t>
      </w:r>
      <w:proofErr w:type="gramEnd"/>
      <w:r>
        <w:rPr>
          <w:rFonts w:hint="eastAsia"/>
          <w:szCs w:val="32"/>
        </w:rPr>
        <w:t>的岭南特色精美农村提供东莞经验。</w:t>
      </w:r>
    </w:p>
    <w:p w14:paraId="2BD7ED34" w14:textId="77777777" w:rsidR="00AE7291" w:rsidRDefault="00AE7291" w:rsidP="00AE7291">
      <w:pPr>
        <w:spacing w:line="600" w:lineRule="exact"/>
        <w:ind w:firstLineChars="150" w:firstLine="480"/>
        <w:rPr>
          <w:rFonts w:eastAsia="楷体"/>
          <w:szCs w:val="32"/>
        </w:rPr>
      </w:pPr>
      <w:r>
        <w:rPr>
          <w:rFonts w:eastAsia="楷体" w:hint="eastAsia"/>
          <w:szCs w:val="32"/>
        </w:rPr>
        <w:t>（二）目标成果</w:t>
      </w:r>
    </w:p>
    <w:p w14:paraId="15B3A707" w14:textId="77777777" w:rsidR="00AE7291" w:rsidRDefault="00AE7291" w:rsidP="00AE7291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、《东莞市特色精品示范村经典案例图册》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份；</w:t>
      </w:r>
    </w:p>
    <w:p w14:paraId="281B87CB" w14:textId="77777777" w:rsidR="00AE7291" w:rsidRDefault="00AE7291" w:rsidP="00AE7291">
      <w:pPr>
        <w:pStyle w:val="a5"/>
        <w:spacing w:line="600" w:lineRule="exact"/>
        <w:ind w:firstLine="640"/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、</w:t>
      </w:r>
      <w:r>
        <w:rPr>
          <w:szCs w:val="32"/>
        </w:rPr>
        <w:t>政府决策咨询报告</w:t>
      </w:r>
      <w:r>
        <w:rPr>
          <w:szCs w:val="32"/>
        </w:rPr>
        <w:t>1</w:t>
      </w:r>
      <w:r>
        <w:rPr>
          <w:szCs w:val="32"/>
        </w:rPr>
        <w:t>份</w:t>
      </w:r>
      <w:r>
        <w:rPr>
          <w:rFonts w:hint="eastAsia"/>
          <w:szCs w:val="32"/>
        </w:rPr>
        <w:t>。</w:t>
      </w:r>
    </w:p>
    <w:p w14:paraId="0014A522" w14:textId="77777777" w:rsidR="005D22D3" w:rsidRDefault="005D22D3" w:rsidP="00AE7291">
      <w:pPr>
        <w:pStyle w:val="1"/>
        <w:spacing w:line="600" w:lineRule="exact"/>
      </w:pPr>
    </w:p>
    <w:sectPr w:rsidR="005D22D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FC1B" w14:textId="77777777" w:rsidR="00AE2234" w:rsidRDefault="00AE2234">
      <w:r>
        <w:separator/>
      </w:r>
    </w:p>
  </w:endnote>
  <w:endnote w:type="continuationSeparator" w:id="0">
    <w:p w14:paraId="15A09BB1" w14:textId="77777777" w:rsidR="00AE2234" w:rsidRDefault="00AE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0C54" w14:textId="77777777" w:rsidR="005D22D3" w:rsidRDefault="00EF53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FEBF5" wp14:editId="62BC085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8F8D9" w14:textId="77777777" w:rsidR="005D22D3" w:rsidRDefault="00EF535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FEB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298F8D9" w14:textId="77777777" w:rsidR="005D22D3" w:rsidRDefault="00EF535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E8F2" w14:textId="77777777" w:rsidR="00AE2234" w:rsidRDefault="00AE2234">
      <w:r>
        <w:separator/>
      </w:r>
    </w:p>
  </w:footnote>
  <w:footnote w:type="continuationSeparator" w:id="0">
    <w:p w14:paraId="323D637B" w14:textId="77777777" w:rsidR="00AE2234" w:rsidRDefault="00AE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D3"/>
    <w:rsid w:val="0014387C"/>
    <w:rsid w:val="005D22D3"/>
    <w:rsid w:val="00AE2234"/>
    <w:rsid w:val="00AE7291"/>
    <w:rsid w:val="00D15D34"/>
    <w:rsid w:val="00EF535B"/>
    <w:rsid w:val="3C1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B1662"/>
  <w15:docId w15:val="{F24500B8-4FA3-4062-8051-CD4BBA34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4">
    <w:name w:val="heading 4"/>
    <w:basedOn w:val="a"/>
    <w:next w:val="a"/>
    <w:qFormat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Indent"/>
    <w:basedOn w:val="a"/>
    <w:unhideWhenUsed/>
    <w:qFormat/>
    <w:rsid w:val="00AE7291"/>
    <w:pPr>
      <w:ind w:firstLineChars="200" w:firstLine="420"/>
    </w:pPr>
  </w:style>
  <w:style w:type="paragraph" w:styleId="a6">
    <w:name w:val="Body Text Indent"/>
    <w:basedOn w:val="a"/>
    <w:link w:val="a7"/>
    <w:rsid w:val="00AE7291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rsid w:val="00AE7291"/>
    <w:rPr>
      <w:rFonts w:eastAsia="仿宋_GB2312"/>
      <w:kern w:val="2"/>
      <w:sz w:val="32"/>
      <w:szCs w:val="24"/>
    </w:rPr>
  </w:style>
  <w:style w:type="paragraph" w:styleId="2">
    <w:name w:val="Body Text First Indent 2"/>
    <w:basedOn w:val="a6"/>
    <w:link w:val="20"/>
    <w:qFormat/>
    <w:rsid w:val="00AE7291"/>
    <w:pPr>
      <w:spacing w:after="0"/>
      <w:ind w:leftChars="0" w:left="0" w:firstLineChars="200" w:firstLine="420"/>
    </w:pPr>
    <w:rPr>
      <w:rFonts w:ascii="仿宋_GB2312"/>
    </w:rPr>
  </w:style>
  <w:style w:type="character" w:customStyle="1" w:styleId="20">
    <w:name w:val="正文文本首行缩进 2 字符"/>
    <w:basedOn w:val="a7"/>
    <w:link w:val="2"/>
    <w:rsid w:val="00AE7291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</cp:lastModifiedBy>
  <cp:revision>3</cp:revision>
  <dcterms:created xsi:type="dcterms:W3CDTF">2020-12-23T08:38:00Z</dcterms:created>
  <dcterms:modified xsi:type="dcterms:W3CDTF">2022-01-12T02:52:00Z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