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BB" w:rsidRPr="007653BB" w:rsidRDefault="007653BB" w:rsidP="007653BB">
      <w:pPr>
        <w:spacing w:line="530" w:lineRule="exact"/>
        <w:rPr>
          <w:rFonts w:eastAsia="黑体"/>
          <w:sz w:val="32"/>
          <w:szCs w:val="32"/>
        </w:rPr>
      </w:pPr>
      <w:r w:rsidRPr="007653BB">
        <w:rPr>
          <w:rFonts w:eastAsia="黑体"/>
          <w:sz w:val="32"/>
          <w:szCs w:val="32"/>
        </w:rPr>
        <w:t>附件</w:t>
      </w:r>
      <w:r w:rsidRPr="007653BB">
        <w:rPr>
          <w:rFonts w:eastAsia="黑体"/>
          <w:sz w:val="32"/>
          <w:szCs w:val="32"/>
        </w:rPr>
        <w:t>1</w:t>
      </w:r>
      <w:r w:rsidRPr="007653BB">
        <w:rPr>
          <w:rFonts w:eastAsia="黑体"/>
          <w:sz w:val="32"/>
          <w:szCs w:val="32"/>
        </w:rPr>
        <w:t>：</w:t>
      </w:r>
    </w:p>
    <w:p w:rsidR="007653BB" w:rsidRPr="007653BB" w:rsidRDefault="007653BB" w:rsidP="007653BB">
      <w:pPr>
        <w:spacing w:line="530" w:lineRule="exact"/>
        <w:rPr>
          <w:rFonts w:eastAsia="黑体"/>
          <w:sz w:val="32"/>
          <w:szCs w:val="32"/>
          <w:highlight w:val="yellow"/>
        </w:rPr>
      </w:pPr>
    </w:p>
    <w:p w:rsidR="007653BB" w:rsidRPr="007653BB" w:rsidRDefault="007653BB" w:rsidP="007653BB">
      <w:pPr>
        <w:spacing w:line="530" w:lineRule="exact"/>
        <w:jc w:val="center"/>
        <w:rPr>
          <w:rFonts w:eastAsia="方正小标宋简体"/>
          <w:sz w:val="44"/>
          <w:szCs w:val="44"/>
        </w:rPr>
      </w:pPr>
      <w:r w:rsidRPr="007653BB">
        <w:rPr>
          <w:rFonts w:eastAsia="方正小标宋简体"/>
          <w:sz w:val="44"/>
          <w:szCs w:val="44"/>
        </w:rPr>
        <w:t>2021</w:t>
      </w:r>
      <w:r w:rsidRPr="007653BB">
        <w:rPr>
          <w:rFonts w:eastAsia="方正小标宋简体"/>
          <w:sz w:val="44"/>
          <w:szCs w:val="44"/>
        </w:rPr>
        <w:t>年市农技办试验示范及农作物病虫监测点计划表</w:t>
      </w:r>
    </w:p>
    <w:p w:rsidR="007653BB" w:rsidRPr="007653BB" w:rsidRDefault="007653BB" w:rsidP="007653BB">
      <w:pPr>
        <w:spacing w:line="53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4049" w:type="dxa"/>
        <w:tblInd w:w="93" w:type="dxa"/>
        <w:tblLook w:val="04A0"/>
      </w:tblPr>
      <w:tblGrid>
        <w:gridCol w:w="640"/>
        <w:gridCol w:w="1643"/>
        <w:gridCol w:w="1060"/>
        <w:gridCol w:w="2342"/>
        <w:gridCol w:w="4111"/>
        <w:gridCol w:w="4253"/>
      </w:tblGrid>
      <w:tr w:rsidR="007653BB" w:rsidRPr="007653BB" w:rsidTr="00D33B68">
        <w:trPr>
          <w:trHeight w:val="6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653BB">
              <w:rPr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653BB">
              <w:rPr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653BB">
              <w:rPr>
                <w:b/>
                <w:bCs/>
                <w:color w:val="000000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653BB">
              <w:rPr>
                <w:b/>
                <w:bCs/>
                <w:color w:val="000000"/>
                <w:kern w:val="0"/>
                <w:sz w:val="22"/>
                <w:szCs w:val="22"/>
              </w:rPr>
              <w:t>合作对象及要求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7653BB">
              <w:rPr>
                <w:b/>
                <w:bCs/>
                <w:color w:val="000000"/>
                <w:kern w:val="0"/>
                <w:sz w:val="22"/>
                <w:szCs w:val="22"/>
              </w:rPr>
              <w:t>经费使用要求</w:t>
            </w:r>
          </w:p>
        </w:tc>
      </w:tr>
      <w:tr w:rsidR="007653BB" w:rsidRPr="007653BB" w:rsidTr="001C5A66">
        <w:trPr>
          <w:trHeight w:val="8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主要农业有害生物的监测预警与绿色防控、农药减量控害技术推广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水稻病虫害监测点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E404A6" w:rsidP="00E404A6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设立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个监测点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color w:val="000000"/>
                <w:kern w:val="0"/>
                <w:sz w:val="22"/>
                <w:szCs w:val="22"/>
              </w:rPr>
              <w:t>选择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个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有水稻种植管理经验并熟悉水稻病虫害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的种植户</w:t>
            </w:r>
            <w:r w:rsidR="001C5A66">
              <w:rPr>
                <w:rFonts w:hint="eastAsia"/>
                <w:color w:val="000000"/>
                <w:kern w:val="0"/>
                <w:sz w:val="22"/>
                <w:szCs w:val="22"/>
              </w:rPr>
              <w:t>或者技术员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主要用于监测人工劳务补助、监测材料等。</w:t>
            </w:r>
          </w:p>
        </w:tc>
      </w:tr>
      <w:tr w:rsidR="007653BB" w:rsidRPr="007653BB" w:rsidTr="00E404A6">
        <w:trPr>
          <w:trHeight w:val="8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香蕉病虫害监测点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E404A6" w:rsidP="00E404A6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设立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2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个</w:t>
            </w:r>
            <w:r>
              <w:rPr>
                <w:color w:val="000000"/>
                <w:kern w:val="0"/>
                <w:sz w:val="22"/>
                <w:szCs w:val="22"/>
              </w:rPr>
              <w:t>监测点，选择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个</w:t>
            </w:r>
            <w:r w:rsidRPr="007653BB">
              <w:rPr>
                <w:color w:val="000000"/>
                <w:kern w:val="0"/>
                <w:sz w:val="22"/>
                <w:szCs w:val="22"/>
              </w:rPr>
              <w:t>有香蕉种植管理经验并熟悉香蕉病虫害</w:t>
            </w:r>
            <w:r>
              <w:rPr>
                <w:color w:val="000000"/>
                <w:kern w:val="0"/>
                <w:sz w:val="22"/>
                <w:szCs w:val="22"/>
              </w:rPr>
              <w:t>的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香蕉合作社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生产企业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种植户等</w:t>
            </w:r>
            <w:r>
              <w:rPr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主要用于产量损失补助、人工劳务补助、监测材料等。</w:t>
            </w:r>
          </w:p>
        </w:tc>
      </w:tr>
      <w:tr w:rsidR="007653BB" w:rsidRPr="007653BB" w:rsidTr="00E404A6">
        <w:trPr>
          <w:trHeight w:val="9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蔬菜病虫害监测点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E404A6" w:rsidP="00E404A6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设立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个监测点，选择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个</w:t>
            </w:r>
            <w:r w:rsidRPr="007653BB">
              <w:rPr>
                <w:color w:val="000000"/>
                <w:kern w:val="0"/>
                <w:sz w:val="22"/>
                <w:szCs w:val="22"/>
              </w:rPr>
              <w:t>有蔬菜种植管理经验并熟悉本地主种蔬菜品种病虫害</w:t>
            </w:r>
            <w:r>
              <w:rPr>
                <w:color w:val="000000"/>
                <w:kern w:val="0"/>
                <w:sz w:val="22"/>
                <w:szCs w:val="22"/>
              </w:rPr>
              <w:t>的种植户或者技术员。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主要用于监测人工劳务补助、监测材料等。</w:t>
            </w:r>
          </w:p>
        </w:tc>
      </w:tr>
      <w:tr w:rsidR="007653BB" w:rsidRPr="007653BB" w:rsidTr="00E404A6">
        <w:trPr>
          <w:trHeight w:val="8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荔枝病虫害监测点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E404A6" w:rsidP="00E404A6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设立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个监测点，选择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2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个</w:t>
            </w:r>
            <w:r w:rsidRPr="007653BB">
              <w:rPr>
                <w:color w:val="000000"/>
                <w:kern w:val="0"/>
                <w:sz w:val="22"/>
                <w:szCs w:val="22"/>
              </w:rPr>
              <w:t>有荔枝种植管理经验并熟悉荔枝病虫害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荔枝合作社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生产企业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="007653BB" w:rsidRPr="007653BB">
              <w:rPr>
                <w:color w:val="000000"/>
                <w:kern w:val="0"/>
                <w:sz w:val="22"/>
                <w:szCs w:val="22"/>
              </w:rPr>
              <w:t>种植户等。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主要用于产量损失补助、人工劳务补助、监测材料等。</w:t>
            </w:r>
          </w:p>
        </w:tc>
      </w:tr>
      <w:tr w:rsidR="007653BB" w:rsidRPr="007653BB" w:rsidTr="00D33B68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蔬菜、水果病虫害防治和农药药效试验点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有种植（管理）通菜的</w:t>
            </w:r>
            <w:r w:rsidRPr="007653BB">
              <w:rPr>
                <w:color w:val="000000"/>
                <w:kern w:val="0"/>
                <w:sz w:val="22"/>
                <w:szCs w:val="22"/>
              </w:rPr>
              <w:t>1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个（或者</w:t>
            </w:r>
            <w:r w:rsidRPr="007653BB">
              <w:rPr>
                <w:color w:val="000000"/>
                <w:kern w:val="0"/>
                <w:sz w:val="22"/>
                <w:szCs w:val="22"/>
              </w:rPr>
              <w:t>2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个）镇街农技中心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合作社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生产企业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种植户；有试验经验和钻研精神优先考虑。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主要用于防治通菜</w:t>
            </w:r>
            <w:r w:rsidRPr="007653BB">
              <w:rPr>
                <w:kern w:val="0"/>
                <w:sz w:val="22"/>
                <w:szCs w:val="22"/>
              </w:rPr>
              <w:t>“</w:t>
            </w:r>
            <w:r w:rsidRPr="007653BB">
              <w:rPr>
                <w:kern w:val="0"/>
                <w:sz w:val="22"/>
                <w:szCs w:val="22"/>
              </w:rPr>
              <w:t>麻点病</w:t>
            </w:r>
            <w:r w:rsidRPr="007653BB">
              <w:rPr>
                <w:kern w:val="0"/>
                <w:sz w:val="22"/>
                <w:szCs w:val="22"/>
              </w:rPr>
              <w:t>”</w:t>
            </w:r>
            <w:r w:rsidRPr="007653BB">
              <w:rPr>
                <w:kern w:val="0"/>
                <w:sz w:val="22"/>
                <w:szCs w:val="22"/>
              </w:rPr>
              <w:t>试验人工劳务补助、药物及试验材料、器械等。</w:t>
            </w:r>
          </w:p>
        </w:tc>
      </w:tr>
      <w:tr w:rsidR="007653BB" w:rsidRPr="007653BB" w:rsidTr="00D33B68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病虫害专业化统防统治、绿色防控、农药减量控害、综合防治技术示范点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1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个（或者</w:t>
            </w:r>
            <w:r w:rsidRPr="007653BB">
              <w:rPr>
                <w:color w:val="000000"/>
                <w:kern w:val="0"/>
                <w:sz w:val="22"/>
                <w:szCs w:val="22"/>
              </w:rPr>
              <w:t>2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个）合作社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生产企业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家庭农场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种植户等；具有相关种植管理、绿色防控等经验。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主要用于示范</w:t>
            </w:r>
            <w:r w:rsidRPr="007653BB">
              <w:rPr>
                <w:color w:val="000000"/>
                <w:kern w:val="0"/>
                <w:sz w:val="22"/>
                <w:szCs w:val="22"/>
              </w:rPr>
              <w:t>20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亩管道喷药设施</w:t>
            </w:r>
            <w:r w:rsidRPr="007653BB">
              <w:rPr>
                <w:color w:val="000000"/>
                <w:kern w:val="0"/>
                <w:sz w:val="22"/>
                <w:szCs w:val="22"/>
              </w:rPr>
              <w:t>—</w:t>
            </w:r>
            <w:r w:rsidRPr="007653BB">
              <w:rPr>
                <w:color w:val="000000"/>
                <w:kern w:val="0"/>
                <w:sz w:val="22"/>
                <w:szCs w:val="22"/>
              </w:rPr>
              <w:t>树冠内膛喷药系统、</w:t>
            </w:r>
            <w:r w:rsidRPr="007653BB">
              <w:rPr>
                <w:color w:val="000000"/>
                <w:kern w:val="0"/>
                <w:sz w:val="22"/>
                <w:szCs w:val="22"/>
              </w:rPr>
              <w:t>20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亩荔枝蒂蛀虫灯光干扰系统。</w:t>
            </w:r>
          </w:p>
        </w:tc>
      </w:tr>
      <w:tr w:rsidR="007653BB" w:rsidRPr="007653BB" w:rsidTr="00D33B68">
        <w:trPr>
          <w:trHeight w:val="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农田鼠害防控示范区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1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个镇街农技中心，示范区面积</w:t>
            </w:r>
            <w:r w:rsidRPr="007653BB">
              <w:rPr>
                <w:color w:val="000000"/>
                <w:kern w:val="0"/>
                <w:sz w:val="22"/>
                <w:szCs w:val="22"/>
              </w:rPr>
              <w:t>200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亩以上。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主要用于示范区建设人工劳务补助、示范物资材料、示范推广费等。</w:t>
            </w:r>
          </w:p>
        </w:tc>
        <w:bookmarkStart w:id="0" w:name="_GoBack"/>
        <w:bookmarkEnd w:id="0"/>
      </w:tr>
      <w:tr w:rsidR="007653BB" w:rsidRPr="007653BB" w:rsidTr="00D33B68">
        <w:trPr>
          <w:trHeight w:val="9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主要入侵性农业有害生物的监测与防控技术推广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入侵性农业有害生物</w:t>
            </w:r>
            <w:r w:rsidRPr="007653BB">
              <w:rPr>
                <w:color w:val="000000"/>
                <w:kern w:val="0"/>
                <w:sz w:val="22"/>
                <w:szCs w:val="22"/>
              </w:rPr>
              <w:br/>
            </w:r>
            <w:r w:rsidRPr="007653BB">
              <w:rPr>
                <w:color w:val="000000"/>
                <w:kern w:val="0"/>
                <w:sz w:val="22"/>
                <w:szCs w:val="22"/>
              </w:rPr>
              <w:t>调查监测点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镇街农技中心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合作社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种植户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专业监测防控组织等；有红火蚁、草地贪夜蛾等入侵性农业有害生物监测经验和工作优势。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主要用于监测点人工劳务补助、车辆补助、监测材料等。</w:t>
            </w:r>
          </w:p>
        </w:tc>
      </w:tr>
      <w:tr w:rsidR="007653BB" w:rsidRPr="007653BB" w:rsidTr="00D33B68">
        <w:trPr>
          <w:trHeight w:val="6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入侵性农业有害生物</w:t>
            </w:r>
            <w:r w:rsidRPr="007653BB">
              <w:rPr>
                <w:color w:val="000000"/>
                <w:kern w:val="0"/>
                <w:sz w:val="22"/>
                <w:szCs w:val="22"/>
              </w:rPr>
              <w:br w:type="page"/>
            </w:r>
            <w:r w:rsidRPr="007653BB">
              <w:rPr>
                <w:color w:val="000000"/>
                <w:kern w:val="0"/>
                <w:sz w:val="22"/>
                <w:szCs w:val="22"/>
              </w:rPr>
              <w:t>防控示范区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镇街农技中心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合作社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种植户</w:t>
            </w:r>
            <w:r w:rsidRPr="007653BB">
              <w:rPr>
                <w:color w:val="000000"/>
                <w:kern w:val="0"/>
                <w:sz w:val="22"/>
                <w:szCs w:val="22"/>
              </w:rPr>
              <w:t>/</w:t>
            </w:r>
            <w:r w:rsidRPr="007653BB">
              <w:rPr>
                <w:color w:val="000000"/>
                <w:kern w:val="0"/>
                <w:sz w:val="22"/>
                <w:szCs w:val="22"/>
              </w:rPr>
              <w:t>专业监测防控组织等；有红火蚁、草地贪夜蛾等入侵性农业有害生物防控、组织培训经验和工作优势。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653BB">
              <w:rPr>
                <w:color w:val="000000"/>
                <w:kern w:val="0"/>
                <w:sz w:val="22"/>
                <w:szCs w:val="22"/>
              </w:rPr>
              <w:t>主要用于示范区防控药物、用品和示范推广费等。</w:t>
            </w:r>
          </w:p>
        </w:tc>
      </w:tr>
      <w:tr w:rsidR="007653BB" w:rsidRPr="007653BB" w:rsidTr="00D33B68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科学施肥技术与新肥料试验、示范及推广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化肥减量增效技术示范点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测土配方施肥、水肥一体化、有机肥替代等技术示范点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全市选择</w:t>
            </w:r>
            <w:r w:rsidRPr="007653BB">
              <w:rPr>
                <w:kern w:val="0"/>
                <w:sz w:val="22"/>
                <w:szCs w:val="22"/>
              </w:rPr>
              <w:t>8</w:t>
            </w:r>
            <w:r w:rsidRPr="007653BB">
              <w:rPr>
                <w:kern w:val="0"/>
                <w:sz w:val="22"/>
                <w:szCs w:val="22"/>
              </w:rPr>
              <w:t>个新型农业经营主体，每个面积</w:t>
            </w:r>
            <w:r w:rsidRPr="007653BB">
              <w:rPr>
                <w:kern w:val="0"/>
                <w:sz w:val="22"/>
                <w:szCs w:val="22"/>
              </w:rPr>
              <w:t>10</w:t>
            </w:r>
            <w:r w:rsidRPr="007653BB">
              <w:rPr>
                <w:kern w:val="0"/>
                <w:sz w:val="22"/>
                <w:szCs w:val="22"/>
              </w:rPr>
              <w:t>亩以上。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主要用于购买</w:t>
            </w:r>
            <w:r w:rsidRPr="007653BB">
              <w:rPr>
                <w:kern w:val="0"/>
                <w:sz w:val="22"/>
                <w:szCs w:val="22"/>
              </w:rPr>
              <w:t>8</w:t>
            </w:r>
            <w:r w:rsidRPr="007653BB">
              <w:rPr>
                <w:kern w:val="0"/>
                <w:sz w:val="22"/>
                <w:szCs w:val="22"/>
              </w:rPr>
              <w:t>个示范点的示范用肥。</w:t>
            </w:r>
          </w:p>
        </w:tc>
      </w:tr>
      <w:tr w:rsidR="007653BB" w:rsidRPr="007653BB" w:rsidTr="00D33B68">
        <w:trPr>
          <w:trHeight w:val="9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新型肥料试验点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全市选择</w:t>
            </w:r>
            <w:r w:rsidRPr="007653BB">
              <w:rPr>
                <w:kern w:val="0"/>
                <w:sz w:val="22"/>
                <w:szCs w:val="22"/>
              </w:rPr>
              <w:t>3</w:t>
            </w:r>
            <w:r w:rsidRPr="007653BB">
              <w:rPr>
                <w:kern w:val="0"/>
                <w:sz w:val="22"/>
                <w:szCs w:val="22"/>
              </w:rPr>
              <w:t>个新型农业经营主体，每个面积</w:t>
            </w:r>
            <w:r w:rsidRPr="007653BB">
              <w:rPr>
                <w:kern w:val="0"/>
                <w:sz w:val="22"/>
                <w:szCs w:val="22"/>
              </w:rPr>
              <w:t>5</w:t>
            </w:r>
            <w:r w:rsidRPr="007653BB">
              <w:rPr>
                <w:kern w:val="0"/>
                <w:sz w:val="22"/>
                <w:szCs w:val="22"/>
              </w:rPr>
              <w:t>亩以上，有试验经验和钻研精神优先考虑。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用于购买新肥料试验用肥。</w:t>
            </w:r>
          </w:p>
        </w:tc>
      </w:tr>
      <w:tr w:rsidR="007653BB" w:rsidRPr="007653BB" w:rsidTr="00D33B68">
        <w:trPr>
          <w:trHeight w:val="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耕地质量监测、保护与提升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土壤有机质提升试验示范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spacing w:line="240" w:lineRule="exac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全市选择</w:t>
            </w:r>
            <w:r w:rsidRPr="007653BB">
              <w:rPr>
                <w:kern w:val="0"/>
                <w:sz w:val="22"/>
                <w:szCs w:val="22"/>
              </w:rPr>
              <w:t>5</w:t>
            </w:r>
            <w:r w:rsidRPr="007653BB">
              <w:rPr>
                <w:kern w:val="0"/>
                <w:sz w:val="22"/>
                <w:szCs w:val="22"/>
              </w:rPr>
              <w:t>个新型农业经营主体，每个面积</w:t>
            </w:r>
            <w:r w:rsidRPr="007653BB">
              <w:rPr>
                <w:kern w:val="0"/>
                <w:sz w:val="22"/>
                <w:szCs w:val="22"/>
              </w:rPr>
              <w:t>30</w:t>
            </w:r>
            <w:r w:rsidRPr="007653BB">
              <w:rPr>
                <w:kern w:val="0"/>
                <w:sz w:val="22"/>
                <w:szCs w:val="22"/>
              </w:rPr>
              <w:t>亩以上。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BB" w:rsidRPr="007653BB" w:rsidRDefault="007653BB" w:rsidP="00D33B68">
            <w:pPr>
              <w:widowControl/>
              <w:tabs>
                <w:tab w:val="left" w:pos="3884"/>
              </w:tabs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 w:rsidRPr="007653BB">
              <w:rPr>
                <w:kern w:val="0"/>
                <w:sz w:val="22"/>
                <w:szCs w:val="22"/>
              </w:rPr>
              <w:t>主要用于购买试验示范有机肥。</w:t>
            </w:r>
          </w:p>
        </w:tc>
      </w:tr>
    </w:tbl>
    <w:p w:rsidR="00ED5A36" w:rsidRPr="007653BB" w:rsidRDefault="00ED5A36"/>
    <w:sectPr w:rsidR="00ED5A36" w:rsidRPr="007653BB" w:rsidSect="002C71D6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08" w:rsidRDefault="00634808" w:rsidP="007653BB">
      <w:r>
        <w:separator/>
      </w:r>
    </w:p>
  </w:endnote>
  <w:endnote w:type="continuationSeparator" w:id="0">
    <w:p w:rsidR="00634808" w:rsidRDefault="00634808" w:rsidP="00765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98318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2C71D6" w:rsidRPr="002C71D6" w:rsidRDefault="002C71D6">
        <w:pPr>
          <w:pStyle w:val="a4"/>
          <w:rPr>
            <w:rFonts w:ascii="仿宋_GB2312" w:eastAsia="仿宋_GB2312"/>
            <w:sz w:val="28"/>
            <w:szCs w:val="28"/>
          </w:rPr>
        </w:pPr>
        <w:r w:rsidRPr="002C71D6">
          <w:rPr>
            <w:rFonts w:ascii="仿宋_GB2312" w:eastAsia="仿宋_GB2312" w:hint="eastAsia"/>
            <w:sz w:val="28"/>
            <w:szCs w:val="28"/>
          </w:rPr>
          <w:t>—</w:t>
        </w:r>
        <w:r w:rsidR="002072E5" w:rsidRPr="002C71D6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2C71D6"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 w:rsidR="002072E5" w:rsidRPr="002C71D6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1C5A66" w:rsidRPr="001C5A66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4</w:t>
        </w:r>
        <w:r w:rsidR="002072E5" w:rsidRPr="002C71D6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 w:rsidRPr="002C71D6"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D6" w:rsidRPr="002C71D6" w:rsidRDefault="002C71D6" w:rsidP="002C71D6">
    <w:pPr>
      <w:pStyle w:val="a4"/>
      <w:jc w:val="right"/>
      <w:rPr>
        <w:rFonts w:ascii="仿宋_GB2312" w:eastAsia="仿宋_GB2312"/>
        <w:sz w:val="28"/>
        <w:szCs w:val="28"/>
      </w:rPr>
    </w:pPr>
    <w:r w:rsidRPr="002C71D6"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1502546566"/>
        <w:docPartObj>
          <w:docPartGallery w:val="Page Numbers (Bottom of Page)"/>
          <w:docPartUnique/>
        </w:docPartObj>
      </w:sdtPr>
      <w:sdtContent>
        <w:r w:rsidR="002072E5" w:rsidRPr="002C71D6">
          <w:rPr>
            <w:rFonts w:ascii="Times New Roman" w:eastAsia="仿宋_GB2312" w:hAnsi="Times New Roman" w:cs="Times New Roman"/>
            <w:sz w:val="28"/>
            <w:szCs w:val="28"/>
          </w:rPr>
          <w:fldChar w:fldCharType="begin"/>
        </w:r>
        <w:r w:rsidRPr="002C71D6">
          <w:rPr>
            <w:rFonts w:ascii="Times New Roman" w:eastAsia="仿宋_GB2312" w:hAnsi="Times New Roman" w:cs="Times New Roman"/>
            <w:sz w:val="28"/>
            <w:szCs w:val="28"/>
          </w:rPr>
          <w:instrText>PAGE   \* MERGEFORMAT</w:instrText>
        </w:r>
        <w:r w:rsidR="002072E5" w:rsidRPr="002C71D6">
          <w:rPr>
            <w:rFonts w:ascii="Times New Roman" w:eastAsia="仿宋_GB2312" w:hAnsi="Times New Roman" w:cs="Times New Roman"/>
            <w:sz w:val="28"/>
            <w:szCs w:val="28"/>
          </w:rPr>
          <w:fldChar w:fldCharType="separate"/>
        </w:r>
        <w:r w:rsidR="001C5A66" w:rsidRPr="001C5A66">
          <w:rPr>
            <w:rFonts w:ascii="Times New Roman" w:eastAsia="仿宋_GB2312" w:hAnsi="Times New Roman" w:cs="Times New Roman"/>
            <w:noProof/>
            <w:sz w:val="28"/>
            <w:szCs w:val="28"/>
            <w:lang w:val="zh-CN"/>
          </w:rPr>
          <w:t>3</w:t>
        </w:r>
        <w:r w:rsidR="002072E5" w:rsidRPr="002C71D6">
          <w:rPr>
            <w:rFonts w:ascii="Times New Roman" w:eastAsia="仿宋_GB2312" w:hAnsi="Times New Roman" w:cs="Times New Roman"/>
            <w:sz w:val="28"/>
            <w:szCs w:val="28"/>
          </w:rPr>
          <w:fldChar w:fldCharType="end"/>
        </w:r>
        <w:r w:rsidRPr="002C71D6"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08" w:rsidRDefault="00634808" w:rsidP="007653BB">
      <w:r>
        <w:separator/>
      </w:r>
    </w:p>
  </w:footnote>
  <w:footnote w:type="continuationSeparator" w:id="0">
    <w:p w:rsidR="00634808" w:rsidRDefault="00634808" w:rsidP="00765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516"/>
    <w:rsid w:val="001C5A66"/>
    <w:rsid w:val="002072E5"/>
    <w:rsid w:val="002C71D6"/>
    <w:rsid w:val="004448C8"/>
    <w:rsid w:val="00634808"/>
    <w:rsid w:val="00713516"/>
    <w:rsid w:val="007653BB"/>
    <w:rsid w:val="008D270D"/>
    <w:rsid w:val="00E404A6"/>
    <w:rsid w:val="00ED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3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3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3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3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3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3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2020-12-17T07:02:00Z</dcterms:created>
  <dcterms:modified xsi:type="dcterms:W3CDTF">2020-12-17T09:11:00Z</dcterms:modified>
</cp:coreProperties>
</file>