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84E79">
      <w:pPr>
        <w:spacing w:line="240" w:lineRule="auto"/>
        <w:ind w:lef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6017643A">
      <w:pPr>
        <w:spacing w:line="240" w:lineRule="auto"/>
        <w:ind w:left="0"/>
        <w:rPr>
          <w:rFonts w:hint="eastAsia" w:ascii="黑体" w:hAnsi="黑体" w:eastAsia="黑体" w:cs="黑体"/>
        </w:rPr>
      </w:pPr>
    </w:p>
    <w:p w14:paraId="7C6CF10A">
      <w:pPr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东莞市乡村振兴促进中心2025年项目</w:t>
      </w:r>
    </w:p>
    <w:p w14:paraId="7A680304">
      <w:pPr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申报范围</w:t>
      </w:r>
    </w:p>
    <w:p w14:paraId="0348B05C"/>
    <w:p w14:paraId="16A26F4C">
      <w:pPr>
        <w:ind w:left="0"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一、东莞市耕地质量提升实施路径研究</w:t>
      </w:r>
    </w:p>
    <w:p w14:paraId="70948116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（一）项目经费</w:t>
      </w:r>
    </w:p>
    <w:p w14:paraId="0C292EF8">
      <w:pPr>
        <w:ind w:left="0" w:firstLine="640" w:firstLineChars="200"/>
      </w:pPr>
      <w:r>
        <w:rPr>
          <w:rFonts w:hint="eastAsia"/>
        </w:rPr>
        <w:t>促进中心专项经费15万元。</w:t>
      </w:r>
    </w:p>
    <w:p w14:paraId="22FB8AE1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（二）研究内容</w:t>
      </w:r>
    </w:p>
    <w:p w14:paraId="270BA8B7">
      <w:pPr>
        <w:ind w:left="0" w:firstLine="640" w:firstLineChars="200"/>
      </w:pPr>
      <w:r>
        <w:rPr>
          <w:rFonts w:hint="eastAsia"/>
        </w:rPr>
        <w:t>以国家、省针对耕地质量提升的政策部署为指导，基于东莞市耕地资源本底条件，深入剖析东莞耕地存在的突出问题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分类识别并划定耕地质量恢复提升区域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探索符合东莞实际的耕地提质实施路径，系统解决耕地质量问题。通过研究推动耕地质量提升与城市产业发展实现协同互促，为东莞市农业农村“十五五”规划的专项工作提供基础，为高度</w:t>
      </w:r>
      <w:bookmarkStart w:id="0" w:name="_GoBack"/>
      <w:bookmarkEnd w:id="0"/>
      <w:r>
        <w:rPr>
          <w:rFonts w:hint="eastAsia"/>
        </w:rPr>
        <w:t>城镇化地区破解“保耕地”与“促发展”难题提供实践样板。</w:t>
      </w:r>
    </w:p>
    <w:p w14:paraId="05543932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（三）目标成果</w:t>
      </w:r>
    </w:p>
    <w:p w14:paraId="0B22D5EF">
      <w:pPr>
        <w:ind w:left="0" w:firstLine="640" w:firstLineChars="200"/>
      </w:pPr>
      <w:r>
        <w:rPr>
          <w:rFonts w:hint="eastAsia"/>
        </w:rPr>
        <w:t>1.《东莞市耕地质量提升实施路径研究》研究报告1份；</w:t>
      </w:r>
    </w:p>
    <w:p w14:paraId="5275F017">
      <w:pPr>
        <w:ind w:left="0" w:firstLine="640" w:firstLineChars="200"/>
      </w:pPr>
      <w:r>
        <w:rPr>
          <w:rFonts w:hint="eastAsia"/>
        </w:rPr>
        <w:t>2.东莞市耕地质量提升实施分类治理指引1份；</w:t>
      </w:r>
    </w:p>
    <w:p w14:paraId="11887A06">
      <w:pPr>
        <w:ind w:left="0" w:firstLine="640" w:firstLineChars="200"/>
      </w:pPr>
      <w:r>
        <w:rPr>
          <w:rFonts w:hint="eastAsia"/>
        </w:rPr>
        <w:t>3.政府决策咨询报告1份。</w:t>
      </w:r>
    </w:p>
    <w:p w14:paraId="3BBDFF96">
      <w:pPr>
        <w:ind w:left="0"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东莞市宅基地资源综合施策整治研究——基于村组（选取一个村或组）宅基地现状的深度调查试点及研究初探</w:t>
      </w:r>
    </w:p>
    <w:p w14:paraId="0302FB4E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（一）项目经费</w:t>
      </w:r>
    </w:p>
    <w:p w14:paraId="246FA2B3">
      <w:pPr>
        <w:ind w:left="0" w:firstLine="640" w:firstLineChars="200"/>
        <w:rPr>
          <w:rFonts w:eastAsia="黑体" w:cs="黑体"/>
          <w:w w:val="95"/>
          <w:szCs w:val="31"/>
        </w:rPr>
      </w:pPr>
      <w:r>
        <w:rPr>
          <w:rFonts w:hint="eastAsia"/>
        </w:rPr>
        <w:t>促进中心专项经费20万元。</w:t>
      </w:r>
    </w:p>
    <w:p w14:paraId="69C16BD1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（二）研究内容</w:t>
      </w:r>
    </w:p>
    <w:p w14:paraId="3C522A03">
      <w:pPr>
        <w:ind w:left="0" w:firstLine="640" w:firstLineChars="200"/>
      </w:pPr>
      <w:r>
        <w:rPr>
          <w:rFonts w:hint="eastAsia"/>
        </w:rPr>
        <w:t>选取一个村（或组）为研究对象，通过实地调查全面摸清辖区内宅基地的物理信息（如占地面积、建筑面积、坐落位置、四至界址、建筑状况等）和社会信息（如土地来源、土地权属、使用权人身份信息、实际用途等），构建宅基地资源“一张图”和“一盘账”，形成一套摸底调查工作模版，为后续全市推广摸底奠定基础。同时，以该村组存量宅基地现状资源为基础，结合宅基地管理、农房建设、国土空间规划等法律政策，以及我市城中村改造、现代化产业园等重点任务，对存量宅基地进行分类分析研究，并提出优化管理的综合施策建议，为我市宅基地规范管理、资源盘活和城乡更新提供决策参考。</w:t>
      </w:r>
    </w:p>
    <w:p w14:paraId="37227CF2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（三）目标成果</w:t>
      </w:r>
    </w:p>
    <w:p w14:paraId="4120312C">
      <w:pPr>
        <w:ind w:left="0" w:firstLine="640" w:firstLineChars="200"/>
      </w:pPr>
      <w:r>
        <w:rPr>
          <w:rFonts w:hint="eastAsia"/>
        </w:rPr>
        <w:t>1.试点村（组）宅基地资源“一张图”（数据库）；</w:t>
      </w:r>
    </w:p>
    <w:p w14:paraId="0B0B35FC">
      <w:pPr>
        <w:ind w:left="0" w:firstLine="640" w:firstLineChars="200"/>
      </w:pPr>
      <w:r>
        <w:rPr>
          <w:rFonts w:hint="eastAsia"/>
        </w:rPr>
        <w:t>2.试点村（组）宅基地资源“一盘账”（台账）；</w:t>
      </w:r>
    </w:p>
    <w:p w14:paraId="4822C596">
      <w:pPr>
        <w:ind w:left="0" w:firstLine="640" w:firstLineChars="200"/>
      </w:pPr>
      <w:r>
        <w:rPr>
          <w:rFonts w:hint="eastAsia"/>
        </w:rPr>
        <w:t>3.东莞市宅基地综合施策整治研究报告1份；</w:t>
      </w:r>
    </w:p>
    <w:p w14:paraId="7902D871">
      <w:pPr>
        <w:ind w:left="0" w:firstLine="640" w:firstLineChars="200"/>
      </w:pPr>
      <w:r>
        <w:rPr>
          <w:rFonts w:hint="eastAsia"/>
        </w:rPr>
        <w:t>4.政府决策咨询报告1份。</w:t>
      </w:r>
    </w:p>
    <w:p w14:paraId="7D3655CB">
      <w:pPr>
        <w:ind w:left="0"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三、基于优势特色产业（石碣蔬菜）融合的和美乡村示范片区规划建设研究</w:t>
      </w:r>
    </w:p>
    <w:p w14:paraId="28863892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（一）项目经费</w:t>
      </w:r>
    </w:p>
    <w:p w14:paraId="4034FB33">
      <w:pPr>
        <w:ind w:left="0"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/>
        </w:rPr>
        <w:t>市镇联动方式开展，项目经费30万元，其中促进中心专项经费15万元、石碣镇农林水务局经费15万元。</w:t>
      </w:r>
    </w:p>
    <w:p w14:paraId="4B95BC47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（二）研究内容</w:t>
      </w:r>
    </w:p>
    <w:p w14:paraId="4A64C716">
      <w:pPr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以石碣镇连片4.5平方公里区域的沙腰村、梁家村为研究对象，以提升现代技术、重塑蔬菜文化、再造蔬菜品牌、打造宜居宜业宜游和美乡村为目标，立足该区域特征，开展以蔬菜为基础的美丽田园与乡村生活、生态、文化联动发展的规划研究，挖掘乡村多元价值，促进乡村资源增值，形成具有乡村韵味、以蔬菜为基础的优势特色产业与和美乡村融合发展的“百千万工程”和乡村振兴示范片区经典案例。</w:t>
      </w:r>
    </w:p>
    <w:p w14:paraId="173661EC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（三）目标成果</w:t>
      </w:r>
    </w:p>
    <w:p w14:paraId="1C5766CA">
      <w:pPr>
        <w:ind w:left="0" w:firstLine="640" w:firstLineChars="200"/>
      </w:pPr>
      <w:r>
        <w:t>1.</w:t>
      </w:r>
      <w:r>
        <w:rPr>
          <w:rFonts w:hint="eastAsia"/>
        </w:rPr>
        <w:t>基于优势特色产业（石碣蔬菜）融合的和美丽乡村示范片区规划编制与研究报告1份</w:t>
      </w:r>
      <w:r>
        <w:t>；</w:t>
      </w:r>
    </w:p>
    <w:p w14:paraId="600F14DE">
      <w:pPr>
        <w:ind w:left="0" w:firstLine="640" w:firstLineChars="200"/>
        <w:rPr>
          <w:rFonts w:eastAsia="黑体" w:cs="黑体"/>
        </w:rPr>
      </w:pPr>
      <w:r>
        <w:t>2.</w:t>
      </w:r>
      <w:r>
        <w:rPr>
          <w:rFonts w:hint="eastAsia"/>
        </w:rPr>
        <w:t>政府决策咨询报告1份</w:t>
      </w:r>
      <w:r>
        <w:t>。</w:t>
      </w:r>
    </w:p>
    <w:p w14:paraId="3DA07F69">
      <w:pPr>
        <w:ind w:left="0"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四、东莞市中堂镇潢涌村数智田园综合管理平台构建与应用创新研究</w:t>
      </w:r>
    </w:p>
    <w:p w14:paraId="5144B529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（一）项目经费</w:t>
      </w:r>
    </w:p>
    <w:p w14:paraId="53E6D3D0">
      <w:pPr>
        <w:ind w:left="0"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/>
        </w:rPr>
        <w:t>市镇村联动方式开展，项目经费30万元，其中促进中心专项经费15万元、中堂镇潢涌村经费15万元。</w:t>
      </w:r>
    </w:p>
    <w:p w14:paraId="5958BE4F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（二）研究内容</w:t>
      </w:r>
    </w:p>
    <w:p w14:paraId="3C89BE2E">
      <w:pPr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以东莞市中堂镇潢涌村560亩田园综合体为研究对象，以首期160亩为重点，以数智农业为抓手，研究构建“运管服一体化”的潢涌村数智田园综合管理平台，包括“空天地”一体化监测体系、农业信息综合管理服务平台和农资农服农机智慧调度平台；研究建立可大面积应用推广的智慧农业体系能力，推动农业生产标准化与智能化，打造东莞首个数智农业示范标杆，形成可推广的东莞经验，带动全市先进农业装备应用，拓展人工智能、数据、低空等技术应用场景发展。</w:t>
      </w:r>
    </w:p>
    <w:p w14:paraId="0B51D09E">
      <w:pPr>
        <w:ind w:left="0"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（三）目标成果</w:t>
      </w:r>
    </w:p>
    <w:p w14:paraId="5CBCF212">
      <w:pPr>
        <w:ind w:left="0" w:firstLine="640" w:firstLineChars="200"/>
      </w:pPr>
      <w:r>
        <w:rPr>
          <w:rFonts w:hint="eastAsia"/>
        </w:rPr>
        <w:t>1.建成一套可复制的数智田园综合管理平台；</w:t>
      </w:r>
    </w:p>
    <w:p w14:paraId="579F90FA">
      <w:pPr>
        <w:ind w:left="0" w:firstLine="640" w:firstLineChars="200"/>
      </w:pPr>
      <w:r>
        <w:rPr>
          <w:rFonts w:hint="eastAsia"/>
        </w:rPr>
        <w:t>2.研究报告1份；</w:t>
      </w:r>
    </w:p>
    <w:p w14:paraId="1F89AB00">
      <w:pPr>
        <w:ind w:left="0" w:firstLine="640" w:firstLineChars="200"/>
      </w:pPr>
      <w:r>
        <w:rPr>
          <w:rFonts w:hint="eastAsia"/>
        </w:rPr>
        <w:t>3.政府决策咨询报告1份。</w:t>
      </w:r>
    </w:p>
    <w:p w14:paraId="7F71F337">
      <w:pPr>
        <w:ind w:left="0" w:firstLine="640" w:firstLineChars="200"/>
      </w:pPr>
    </w:p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E891B">
    <w:pPr>
      <w:pStyle w:val="6"/>
      <w:ind w:firstLine="5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95212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95212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4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ZTc3NjBmMTMzMzQ5MDYyY2RlMDJkNDE2NTNlMzYifQ=="/>
  </w:docVars>
  <w:rsids>
    <w:rsidRoot w:val="252F4382"/>
    <w:rsid w:val="000168A2"/>
    <w:rsid w:val="00035497"/>
    <w:rsid w:val="00041EFF"/>
    <w:rsid w:val="00062106"/>
    <w:rsid w:val="000B0DC9"/>
    <w:rsid w:val="000C7280"/>
    <w:rsid w:val="000C752B"/>
    <w:rsid w:val="000F3066"/>
    <w:rsid w:val="0010243D"/>
    <w:rsid w:val="001348C2"/>
    <w:rsid w:val="00174AD0"/>
    <w:rsid w:val="00195953"/>
    <w:rsid w:val="001D54A5"/>
    <w:rsid w:val="001E1B1E"/>
    <w:rsid w:val="001F1249"/>
    <w:rsid w:val="00203135"/>
    <w:rsid w:val="002445C8"/>
    <w:rsid w:val="002628C7"/>
    <w:rsid w:val="002920D0"/>
    <w:rsid w:val="002A5ABF"/>
    <w:rsid w:val="002C6814"/>
    <w:rsid w:val="00310D3A"/>
    <w:rsid w:val="00354887"/>
    <w:rsid w:val="00374363"/>
    <w:rsid w:val="00376743"/>
    <w:rsid w:val="003B21EA"/>
    <w:rsid w:val="003F4EB2"/>
    <w:rsid w:val="00432E2A"/>
    <w:rsid w:val="0043674A"/>
    <w:rsid w:val="00444A5E"/>
    <w:rsid w:val="004C5D16"/>
    <w:rsid w:val="00550492"/>
    <w:rsid w:val="005A0CC4"/>
    <w:rsid w:val="006111D9"/>
    <w:rsid w:val="006234AB"/>
    <w:rsid w:val="006C2703"/>
    <w:rsid w:val="006D4BFB"/>
    <w:rsid w:val="00712DE3"/>
    <w:rsid w:val="00760D75"/>
    <w:rsid w:val="00784A64"/>
    <w:rsid w:val="007A618B"/>
    <w:rsid w:val="007A6E62"/>
    <w:rsid w:val="007D4C63"/>
    <w:rsid w:val="007E2A3A"/>
    <w:rsid w:val="007F6E00"/>
    <w:rsid w:val="00822298"/>
    <w:rsid w:val="00874AA1"/>
    <w:rsid w:val="00894957"/>
    <w:rsid w:val="008F199F"/>
    <w:rsid w:val="009503D7"/>
    <w:rsid w:val="0095128F"/>
    <w:rsid w:val="00955F64"/>
    <w:rsid w:val="00962573"/>
    <w:rsid w:val="0098689E"/>
    <w:rsid w:val="00996BA6"/>
    <w:rsid w:val="009D5008"/>
    <w:rsid w:val="009F28F4"/>
    <w:rsid w:val="00A16587"/>
    <w:rsid w:val="00A3564B"/>
    <w:rsid w:val="00A3755F"/>
    <w:rsid w:val="00A53E76"/>
    <w:rsid w:val="00A93463"/>
    <w:rsid w:val="00AB4F2C"/>
    <w:rsid w:val="00B23E37"/>
    <w:rsid w:val="00B52B9B"/>
    <w:rsid w:val="00B556F4"/>
    <w:rsid w:val="00B631DF"/>
    <w:rsid w:val="00B80A7F"/>
    <w:rsid w:val="00BB39A0"/>
    <w:rsid w:val="00BD3401"/>
    <w:rsid w:val="00CA1CFA"/>
    <w:rsid w:val="00CB3E29"/>
    <w:rsid w:val="00CF314B"/>
    <w:rsid w:val="00D237C2"/>
    <w:rsid w:val="00D421C7"/>
    <w:rsid w:val="00D55800"/>
    <w:rsid w:val="00D83F01"/>
    <w:rsid w:val="00DA78BF"/>
    <w:rsid w:val="00DC422E"/>
    <w:rsid w:val="00E03E44"/>
    <w:rsid w:val="00E27CDE"/>
    <w:rsid w:val="00E7763F"/>
    <w:rsid w:val="00EA666A"/>
    <w:rsid w:val="00ED1BAE"/>
    <w:rsid w:val="00ED2264"/>
    <w:rsid w:val="00F17E0A"/>
    <w:rsid w:val="00F97778"/>
    <w:rsid w:val="017A28CD"/>
    <w:rsid w:val="031076FD"/>
    <w:rsid w:val="03F73AE6"/>
    <w:rsid w:val="05F8417C"/>
    <w:rsid w:val="0664253A"/>
    <w:rsid w:val="068D0920"/>
    <w:rsid w:val="0D392F1F"/>
    <w:rsid w:val="0D807C42"/>
    <w:rsid w:val="0F222F52"/>
    <w:rsid w:val="10C77A7F"/>
    <w:rsid w:val="10E35AB5"/>
    <w:rsid w:val="113B542D"/>
    <w:rsid w:val="116066E6"/>
    <w:rsid w:val="1185045E"/>
    <w:rsid w:val="11974330"/>
    <w:rsid w:val="131362AF"/>
    <w:rsid w:val="13C12864"/>
    <w:rsid w:val="14C14347"/>
    <w:rsid w:val="15237759"/>
    <w:rsid w:val="16365475"/>
    <w:rsid w:val="16A1184B"/>
    <w:rsid w:val="186B04CF"/>
    <w:rsid w:val="1A90604B"/>
    <w:rsid w:val="1AAD277B"/>
    <w:rsid w:val="1B4F75E5"/>
    <w:rsid w:val="1C0A4334"/>
    <w:rsid w:val="1C1B022B"/>
    <w:rsid w:val="1DF1479C"/>
    <w:rsid w:val="1FD65AA3"/>
    <w:rsid w:val="23466E3A"/>
    <w:rsid w:val="252F4382"/>
    <w:rsid w:val="28A62736"/>
    <w:rsid w:val="2F9F71D7"/>
    <w:rsid w:val="312D5C0F"/>
    <w:rsid w:val="321C22C4"/>
    <w:rsid w:val="32E1416B"/>
    <w:rsid w:val="335528B5"/>
    <w:rsid w:val="336946A1"/>
    <w:rsid w:val="33AA2812"/>
    <w:rsid w:val="35110ECD"/>
    <w:rsid w:val="356409D9"/>
    <w:rsid w:val="35D4464B"/>
    <w:rsid w:val="35F26E73"/>
    <w:rsid w:val="37362EDC"/>
    <w:rsid w:val="39CE3B87"/>
    <w:rsid w:val="3A742E28"/>
    <w:rsid w:val="3E362029"/>
    <w:rsid w:val="40135CCD"/>
    <w:rsid w:val="423A6C62"/>
    <w:rsid w:val="42B22412"/>
    <w:rsid w:val="44FC43D0"/>
    <w:rsid w:val="454D3379"/>
    <w:rsid w:val="45FC6CB0"/>
    <w:rsid w:val="4668542A"/>
    <w:rsid w:val="46C07F7C"/>
    <w:rsid w:val="47371031"/>
    <w:rsid w:val="474564D9"/>
    <w:rsid w:val="47AA4BAA"/>
    <w:rsid w:val="483331C9"/>
    <w:rsid w:val="48D43E75"/>
    <w:rsid w:val="4AA30431"/>
    <w:rsid w:val="4AA82BD0"/>
    <w:rsid w:val="4B3407C5"/>
    <w:rsid w:val="4BFA230E"/>
    <w:rsid w:val="4CA52B49"/>
    <w:rsid w:val="4CB91C08"/>
    <w:rsid w:val="4FD34B1C"/>
    <w:rsid w:val="4FE6187D"/>
    <w:rsid w:val="508C2093"/>
    <w:rsid w:val="53032E79"/>
    <w:rsid w:val="554106C0"/>
    <w:rsid w:val="558A46C7"/>
    <w:rsid w:val="55E2639D"/>
    <w:rsid w:val="58F44E86"/>
    <w:rsid w:val="596379CE"/>
    <w:rsid w:val="5A64262F"/>
    <w:rsid w:val="5C6102F6"/>
    <w:rsid w:val="5E980671"/>
    <w:rsid w:val="60ED6202"/>
    <w:rsid w:val="62090734"/>
    <w:rsid w:val="6A816923"/>
    <w:rsid w:val="6B6467F5"/>
    <w:rsid w:val="6BB61029"/>
    <w:rsid w:val="6BEC0520"/>
    <w:rsid w:val="6D251E5E"/>
    <w:rsid w:val="6FA10F79"/>
    <w:rsid w:val="703120DF"/>
    <w:rsid w:val="703175D2"/>
    <w:rsid w:val="7520271D"/>
    <w:rsid w:val="75F41715"/>
    <w:rsid w:val="7A4A6821"/>
    <w:rsid w:val="7A55513E"/>
    <w:rsid w:val="7A7846CA"/>
    <w:rsid w:val="7AB0752C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left="64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60" w:lineRule="exact"/>
      <w:ind w:firstLine="840"/>
      <w:textAlignment w:val="baseline"/>
      <w:outlineLvl w:val="0"/>
    </w:pPr>
    <w:rPr>
      <w:rFonts w:eastAsia="方正小标宋简体" w:cs="方正小标宋简体"/>
      <w:kern w:val="0"/>
      <w:sz w:val="42"/>
      <w:szCs w:val="4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6">
    <w:name w:val="footer"/>
    <w:basedOn w:val="1"/>
    <w:autoRedefine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7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13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4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6"/>
      <w:szCs w:val="26"/>
      <w:u w:val="none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1628</Words>
  <Characters>1659</Characters>
  <Lines>45</Lines>
  <Paragraphs>39</Paragraphs>
  <TotalTime>8</TotalTime>
  <ScaleCrop>false</ScaleCrop>
  <LinksUpToDate>false</LinksUpToDate>
  <CharactersWithSpaces>1659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2023-01-17T08:39:00Z</dcterms:created>
  <dc:creator>yj</dc:creator>
  <cp:lastModifiedBy>辛泥</cp:lastModifiedBy>
  <cp:lastPrinted>2025-04-16T01:18:00Z</cp:lastPrinted>
  <dcterms:modified xsi:type="dcterms:W3CDTF">2025-05-22T01:31:32Z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11AF5374F01B4B5AB1F9B4C7F910B023_13</vt:lpwstr>
  </property>
  <property fmtid="{D5CDD505-2E9C-101B-9397-08002B2CF9AE}" pid="4" name="KSOTemplateDocerSaveRecord">
    <vt:lpwstr>eyJoZGlkIjoiNjMwZWI2N2YwNmQ5ZDg2OWQ3MDI4OWZjMTViYTVjNTIiLCJ1c2VySWQiOiI3ODQ5NDYwMTEifQ==</vt:lpwstr>
  </property>
</Properties>
</file>