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16"/>
        <w:tblW w:w="143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1440"/>
        <w:gridCol w:w="1440"/>
        <w:gridCol w:w="1440"/>
        <w:gridCol w:w="1728"/>
        <w:gridCol w:w="1800"/>
        <w:gridCol w:w="180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32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第二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  <w:t>季度</w:t>
            </w:r>
            <w:r>
              <w:rPr>
                <w:rFonts w:hint="eastAsia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马铃薯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  <w:t>险种承保汇总表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单位：亩、元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镇街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投保数量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（亩）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保费补贴/元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中央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（35%）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市级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（19.5%）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镇街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（45.5%）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农户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（0%）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清溪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马铃薯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12.00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864.00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302.40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168.48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393.12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合计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  <w:t>12.00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  <w:t>864.00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  <w:t>302.40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  <w:t>168.48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  <w:t>393.12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  <w:t>0.00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B49BC"/>
    <w:rsid w:val="35D7BB24"/>
    <w:rsid w:val="5FCFFA81"/>
    <w:rsid w:val="7E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2022-09-29T14:25:00Z</dcterms:created>
  <dc:creator>guest</dc:creator>
  <cp:lastModifiedBy>guest</cp:lastModifiedBy>
  <dcterms:modified xsi:type="dcterms:W3CDTF">2022-09-29T14:26:05Z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